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C40" w:rsidRDefault="00995C40" w:rsidP="00995C40">
      <w:pPr>
        <w:pStyle w:val="Ttulo1"/>
        <w:jc w:val="both"/>
      </w:pPr>
      <w:r>
        <w:rPr>
          <w:rStyle w:val="Textoennegrita"/>
          <w:b/>
          <w:bCs/>
        </w:rPr>
        <w:t>Memoria Descriptiva – Demarcación Vial en Av. de Circunvalación</w:t>
      </w:r>
    </w:p>
    <w:p w:rsidR="00995C40" w:rsidRDefault="00995C40" w:rsidP="00995C40">
      <w:pPr>
        <w:pStyle w:val="NormalWeb"/>
        <w:jc w:val="both"/>
      </w:pPr>
      <w:r>
        <w:rPr>
          <w:rStyle w:val="Textoennegrita"/>
        </w:rPr>
        <w:t>Objeto del trabajo:</w:t>
      </w:r>
      <w:r>
        <w:t xml:space="preserve"> La presente memoria tiene por objeto describir las tareas de demarcación vial a realizar en la Avenida de Circunvalación, en el tramo comprendido entre el predio de la firma CENSER y el Centro Administrativo de la Corporación del Mercado Central de Buenos Aires. El objetivo es restituir la señalización horizontal perdida, garantizando la seguridad vial y la correcta circulación de vehículos y peatones.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Ubicación de la obra</w:t>
      </w:r>
    </w:p>
    <w:p w:rsidR="00995C40" w:rsidRDefault="00995C40" w:rsidP="00995C40">
      <w:pPr>
        <w:pStyle w:val="NormalWeb"/>
        <w:numPr>
          <w:ilvl w:val="0"/>
          <w:numId w:val="6"/>
        </w:numPr>
        <w:jc w:val="both"/>
      </w:pPr>
      <w:r>
        <w:rPr>
          <w:rStyle w:val="Textoennegrita"/>
        </w:rPr>
        <w:t>Sector:</w:t>
      </w:r>
      <w:r>
        <w:t xml:space="preserve"> Avenida de Circunvalación, entre CENSER y el Centro Administrativo de la CMCBA.</w:t>
      </w:r>
    </w:p>
    <w:p w:rsidR="00995C40" w:rsidRDefault="00995C40" w:rsidP="00995C40">
      <w:pPr>
        <w:pStyle w:val="NormalWeb"/>
        <w:numPr>
          <w:ilvl w:val="0"/>
          <w:numId w:val="6"/>
        </w:numPr>
        <w:jc w:val="both"/>
      </w:pPr>
      <w:r>
        <w:rPr>
          <w:rStyle w:val="Textoennegrita"/>
        </w:rPr>
        <w:t>Superficie estimada:</w:t>
      </w:r>
      <w:r>
        <w:t xml:space="preserve"> 163 m² de demarcación horizontal.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Alcance de los trabajos</w:t>
      </w:r>
    </w:p>
    <w:p w:rsidR="00995C40" w:rsidRDefault="00995C40" w:rsidP="00995C40">
      <w:pPr>
        <w:pStyle w:val="NormalWeb"/>
        <w:numPr>
          <w:ilvl w:val="0"/>
          <w:numId w:val="7"/>
        </w:numPr>
        <w:jc w:val="both"/>
      </w:pPr>
      <w:r>
        <w:t xml:space="preserve">Provisión y aplicación de </w:t>
      </w:r>
      <w:r>
        <w:rPr>
          <w:rStyle w:val="Textoennegrita"/>
        </w:rPr>
        <w:t>pintura termoplástica reflectante</w:t>
      </w:r>
      <w:r>
        <w:t xml:space="preserve"> por extrusión, en colores </w:t>
      </w:r>
      <w:r>
        <w:rPr>
          <w:rStyle w:val="Textoennegrita"/>
        </w:rPr>
        <w:t>blanco y amarillo vial</w:t>
      </w:r>
      <w:r>
        <w:t>, con espesor de 3 mm y ancho de 10 cm.</w:t>
      </w:r>
    </w:p>
    <w:p w:rsidR="00995C40" w:rsidRDefault="00995C40" w:rsidP="00995C40">
      <w:pPr>
        <w:pStyle w:val="NormalWeb"/>
        <w:numPr>
          <w:ilvl w:val="0"/>
          <w:numId w:val="7"/>
        </w:numPr>
        <w:jc w:val="both"/>
      </w:pPr>
      <w:r>
        <w:t xml:space="preserve">Incorporación de </w:t>
      </w:r>
      <w:r>
        <w:rPr>
          <w:rStyle w:val="Textoennegrita"/>
        </w:rPr>
        <w:t>micro esferas de vidrio</w:t>
      </w:r>
      <w:r>
        <w:t xml:space="preserve"> para retro reflexión nocturna.</w:t>
      </w:r>
    </w:p>
    <w:p w:rsidR="00995C40" w:rsidRDefault="00995C40" w:rsidP="00995C40">
      <w:pPr>
        <w:pStyle w:val="NormalWeb"/>
        <w:numPr>
          <w:ilvl w:val="0"/>
          <w:numId w:val="7"/>
        </w:numPr>
        <w:jc w:val="both"/>
      </w:pPr>
      <w:r>
        <w:t>Demarcación de:</w:t>
      </w:r>
    </w:p>
    <w:p w:rsidR="00995C40" w:rsidRDefault="00995C40" w:rsidP="00995C40">
      <w:pPr>
        <w:pStyle w:val="NormalWeb"/>
        <w:numPr>
          <w:ilvl w:val="1"/>
          <w:numId w:val="7"/>
        </w:numPr>
        <w:jc w:val="both"/>
      </w:pPr>
      <w:r>
        <w:t>Líneas divisorias de circulación.</w:t>
      </w:r>
    </w:p>
    <w:p w:rsidR="00995C40" w:rsidRDefault="00995C40" w:rsidP="00995C40">
      <w:pPr>
        <w:pStyle w:val="NormalWeb"/>
        <w:numPr>
          <w:ilvl w:val="1"/>
          <w:numId w:val="7"/>
        </w:numPr>
        <w:jc w:val="both"/>
      </w:pPr>
      <w:r>
        <w:t>Flechas de giro.</w:t>
      </w:r>
    </w:p>
    <w:p w:rsidR="00995C40" w:rsidRDefault="00995C40" w:rsidP="00995C40">
      <w:pPr>
        <w:pStyle w:val="NormalWeb"/>
        <w:numPr>
          <w:ilvl w:val="1"/>
          <w:numId w:val="7"/>
        </w:numPr>
        <w:jc w:val="both"/>
      </w:pPr>
      <w:r>
        <w:t>Sendas peatonales.</w:t>
      </w:r>
    </w:p>
    <w:p w:rsidR="00995C40" w:rsidRDefault="00995C40" w:rsidP="00995C40">
      <w:pPr>
        <w:pStyle w:val="NormalWeb"/>
        <w:numPr>
          <w:ilvl w:val="1"/>
          <w:numId w:val="7"/>
        </w:numPr>
        <w:jc w:val="both"/>
      </w:pPr>
      <w:r>
        <w:t>Delimitaciones de carriles.</w:t>
      </w:r>
    </w:p>
    <w:p w:rsidR="00995C40" w:rsidRDefault="00995C40" w:rsidP="00995C40">
      <w:pPr>
        <w:pStyle w:val="NormalWeb"/>
        <w:numPr>
          <w:ilvl w:val="0"/>
          <w:numId w:val="7"/>
        </w:numPr>
        <w:jc w:val="both"/>
      </w:pPr>
      <w:r>
        <w:t>Limpieza superficial de la zona de obra previa a la aplicación.</w:t>
      </w:r>
    </w:p>
    <w:p w:rsidR="00995C40" w:rsidRDefault="00995C40" w:rsidP="00995C40">
      <w:pPr>
        <w:pStyle w:val="NormalWeb"/>
        <w:numPr>
          <w:ilvl w:val="0"/>
          <w:numId w:val="7"/>
        </w:numPr>
        <w:jc w:val="both"/>
      </w:pPr>
      <w:r>
        <w:t>Coordinación de despeje de vehículos durante la ejecución.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Normativa aplicable</w:t>
      </w:r>
    </w:p>
    <w:p w:rsidR="00995C40" w:rsidRDefault="00995C40" w:rsidP="00995C40">
      <w:pPr>
        <w:pStyle w:val="NormalWeb"/>
        <w:numPr>
          <w:ilvl w:val="0"/>
          <w:numId w:val="8"/>
        </w:numPr>
        <w:jc w:val="both"/>
      </w:pPr>
      <w:r>
        <w:rPr>
          <w:rStyle w:val="Textoennegrita"/>
        </w:rPr>
        <w:t>Norma IRAM 1221</w:t>
      </w:r>
      <w:r>
        <w:t>: Requisitos técnicos y métodos de ensayo para pinturas de demarcación vial (resistencia a la abrasión, tiempo de secado, flexibilidad, coordenadas cromáticas).</w:t>
      </w:r>
    </w:p>
    <w:p w:rsidR="00995C40" w:rsidRDefault="00995C40" w:rsidP="00995C40">
      <w:pPr>
        <w:pStyle w:val="NormalWeb"/>
        <w:numPr>
          <w:ilvl w:val="0"/>
          <w:numId w:val="8"/>
        </w:numPr>
        <w:jc w:val="both"/>
      </w:pPr>
      <w:r>
        <w:rPr>
          <w:rStyle w:val="Textoennegrita"/>
        </w:rPr>
        <w:t>Manual de Señalamiento Horizontal de Vialidad Nacional</w:t>
      </w:r>
      <w:r>
        <w:t>: Formas, dimensiones y colores de las marcas viales; especificaciones técnicas de aplicación.</w:t>
      </w:r>
    </w:p>
    <w:p w:rsidR="00995C40" w:rsidRDefault="00995C40" w:rsidP="00995C40">
      <w:pPr>
        <w:pStyle w:val="NormalWeb"/>
        <w:numPr>
          <w:ilvl w:val="0"/>
          <w:numId w:val="8"/>
        </w:numPr>
        <w:jc w:val="both"/>
      </w:pPr>
      <w:r>
        <w:rPr>
          <w:rStyle w:val="Textoennegrita"/>
        </w:rPr>
        <w:t>Objetivo normativo:</w:t>
      </w:r>
      <w:r>
        <w:t xml:space="preserve"> Garantizar visibilidad, durabilidad y homogeneidad de las señales en todo el país, cumpliendo con estándares de seguridad vial.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Requisitos técnicos y operativos</w:t>
      </w:r>
    </w:p>
    <w:p w:rsidR="0078099D" w:rsidRPr="00E979BE" w:rsidRDefault="0078099D" w:rsidP="0078099D">
      <w:pPr>
        <w:pStyle w:val="NormalWeb"/>
        <w:numPr>
          <w:ilvl w:val="0"/>
          <w:numId w:val="9"/>
        </w:numPr>
        <w:jc w:val="both"/>
        <w:rPr>
          <w:b/>
        </w:rPr>
      </w:pPr>
      <w:r>
        <w:rPr>
          <w:rStyle w:val="Textoennegrita"/>
        </w:rPr>
        <w:t>Visita técnica obligatoria:</w:t>
      </w:r>
      <w:r>
        <w:t xml:space="preserve"> Los oferentes deberán coordinar una visita al sitio de obra con el Departamento de Mantenimiento, previa a la presentación de la oferta. </w:t>
      </w:r>
      <w:r w:rsidRPr="00E979BE">
        <w:rPr>
          <w:b/>
          <w:u w:val="single"/>
        </w:rPr>
        <w:lastRenderedPageBreak/>
        <w:t>La visita tendrá carácter excluyente y su constancia será requisito indispensable para la admisibilidad de la propuesta.</w:t>
      </w:r>
    </w:p>
    <w:p w:rsidR="00995C40" w:rsidRDefault="00995C40" w:rsidP="00995C40">
      <w:pPr>
        <w:pStyle w:val="NormalWeb"/>
        <w:numPr>
          <w:ilvl w:val="0"/>
          <w:numId w:val="9"/>
        </w:numPr>
        <w:jc w:val="both"/>
      </w:pPr>
      <w:r>
        <w:t>Ajuste de cantidades y presupuesto en función de lo relevado en obra.</w:t>
      </w:r>
    </w:p>
    <w:p w:rsidR="00995C40" w:rsidRDefault="00995C40" w:rsidP="00995C40">
      <w:pPr>
        <w:pStyle w:val="NormalWeb"/>
        <w:numPr>
          <w:ilvl w:val="0"/>
          <w:numId w:val="9"/>
        </w:numPr>
        <w:jc w:val="both"/>
      </w:pPr>
      <w:r>
        <w:t>Suspensión de tareas por lluvia o humedad sin penalidades.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Materiales y proveedores</w:t>
      </w:r>
    </w:p>
    <w:p w:rsidR="00995C40" w:rsidRDefault="00995C40" w:rsidP="00C40F68">
      <w:pPr>
        <w:pStyle w:val="NormalWeb"/>
        <w:numPr>
          <w:ilvl w:val="0"/>
          <w:numId w:val="10"/>
        </w:numPr>
        <w:jc w:val="both"/>
      </w:pPr>
      <w:r>
        <w:t>Pinturas termoplásticas.</w:t>
      </w:r>
    </w:p>
    <w:p w:rsidR="00995C40" w:rsidRDefault="00995C40" w:rsidP="00C40F68">
      <w:pPr>
        <w:pStyle w:val="NormalWeb"/>
        <w:numPr>
          <w:ilvl w:val="0"/>
          <w:numId w:val="10"/>
        </w:numPr>
        <w:jc w:val="both"/>
      </w:pPr>
      <w:r>
        <w:t>Micro esferas de vidrio para retro reflexión.</w:t>
      </w:r>
    </w:p>
    <w:p w:rsidR="00995C40" w:rsidRDefault="00995C40" w:rsidP="00995C40">
      <w:pPr>
        <w:pStyle w:val="NormalWeb"/>
        <w:numPr>
          <w:ilvl w:val="0"/>
          <w:numId w:val="10"/>
        </w:numPr>
        <w:jc w:val="both"/>
      </w:pPr>
      <w:r>
        <w:t>Equipos de extrusión para aplicación de pintura.</w:t>
      </w:r>
    </w:p>
    <w:p w:rsidR="00995C40" w:rsidRDefault="00995C40" w:rsidP="00995C40">
      <w:pPr>
        <w:pStyle w:val="Ttulo2"/>
        <w:jc w:val="both"/>
      </w:pPr>
      <w:r>
        <w:rPr>
          <w:rStyle w:val="Textoennegrita"/>
          <w:b/>
          <w:bCs/>
        </w:rPr>
        <w:t>Impacto esperado</w:t>
      </w:r>
    </w:p>
    <w:p w:rsidR="00995C40" w:rsidRDefault="00995C40" w:rsidP="00995C40">
      <w:pPr>
        <w:pStyle w:val="NormalWeb"/>
        <w:numPr>
          <w:ilvl w:val="0"/>
          <w:numId w:val="11"/>
        </w:numPr>
        <w:jc w:val="both"/>
      </w:pPr>
      <w:r>
        <w:t>Restitución de la señalización horizontal en un tramo crítico de circulación.</w:t>
      </w:r>
    </w:p>
    <w:p w:rsidR="00995C40" w:rsidRDefault="00995C40" w:rsidP="00995C40">
      <w:pPr>
        <w:pStyle w:val="NormalWeb"/>
        <w:numPr>
          <w:ilvl w:val="0"/>
          <w:numId w:val="11"/>
        </w:numPr>
        <w:jc w:val="both"/>
      </w:pPr>
      <w:r>
        <w:t>Mejora de la seguridad vial para conductores y peatones.</w:t>
      </w:r>
    </w:p>
    <w:p w:rsidR="00995C40" w:rsidRDefault="00995C40" w:rsidP="00995C40">
      <w:pPr>
        <w:pStyle w:val="NormalWeb"/>
        <w:numPr>
          <w:ilvl w:val="0"/>
          <w:numId w:val="11"/>
        </w:numPr>
        <w:jc w:val="both"/>
      </w:pPr>
      <w:r>
        <w:t>Reducción de riesgos de accidentes y conflictos de tránsito.</w:t>
      </w:r>
    </w:p>
    <w:p w:rsidR="00995C40" w:rsidRDefault="00995C40" w:rsidP="00995C40">
      <w:pPr>
        <w:pStyle w:val="NormalWeb"/>
        <w:numPr>
          <w:ilvl w:val="0"/>
          <w:numId w:val="11"/>
        </w:numPr>
        <w:jc w:val="both"/>
      </w:pPr>
      <w:r>
        <w:t>Cumplimiento de normativa nacional vigente en materia de señalamiento vial.</w:t>
      </w:r>
    </w:p>
    <w:p w:rsidR="0078099D" w:rsidRPr="004C45BE" w:rsidRDefault="0078099D" w:rsidP="0078099D">
      <w:pPr>
        <w:pStyle w:val="NormalWeb"/>
        <w:rPr>
          <w:rStyle w:val="Textoennegrita"/>
          <w:sz w:val="36"/>
          <w:szCs w:val="36"/>
        </w:rPr>
      </w:pPr>
      <w:r w:rsidRPr="004C45BE">
        <w:rPr>
          <w:rStyle w:val="Textoennegrita"/>
          <w:sz w:val="36"/>
          <w:szCs w:val="36"/>
        </w:rPr>
        <w:t>Contacto para coordinación de visita:</w:t>
      </w:r>
    </w:p>
    <w:p w:rsidR="0037654C" w:rsidRDefault="0078099D" w:rsidP="0037654C">
      <w:pPr>
        <w:pStyle w:val="Ttulo2"/>
      </w:pPr>
      <w:r w:rsidRPr="0037654C">
        <w:rPr>
          <w:b w:val="0"/>
          <w:sz w:val="24"/>
          <w:szCs w:val="24"/>
        </w:rPr>
        <w:t>Departamento de Mantenimiento</w:t>
      </w:r>
      <w:r w:rsidRPr="0037654C">
        <w:rPr>
          <w:b w:val="0"/>
          <w:sz w:val="24"/>
          <w:szCs w:val="24"/>
        </w:rPr>
        <w:br/>
        <w:t xml:space="preserve">Responsable: </w:t>
      </w:r>
      <w:r w:rsidRPr="0037654C">
        <w:rPr>
          <w:rStyle w:val="nfasis"/>
          <w:b w:val="0"/>
          <w:sz w:val="24"/>
          <w:szCs w:val="24"/>
        </w:rPr>
        <w:t xml:space="preserve">Santiago Ojeda – </w:t>
      </w:r>
      <w:r w:rsidR="004C45BE" w:rsidRPr="0037654C">
        <w:rPr>
          <w:rStyle w:val="nfasis"/>
          <w:b w:val="0"/>
          <w:sz w:val="24"/>
          <w:szCs w:val="24"/>
        </w:rPr>
        <w:t>Gerente de Unidad Coordinación Operativa</w:t>
      </w:r>
      <w:r w:rsidRPr="0037654C">
        <w:rPr>
          <w:rStyle w:val="nfasis"/>
          <w:b w:val="0"/>
          <w:sz w:val="24"/>
          <w:szCs w:val="24"/>
        </w:rPr>
        <w:br/>
      </w:r>
      <w:r w:rsidRPr="0037654C">
        <w:rPr>
          <w:b w:val="0"/>
          <w:sz w:val="24"/>
          <w:szCs w:val="24"/>
        </w:rPr>
        <w:t xml:space="preserve">Teléfono: </w:t>
      </w:r>
      <w:r w:rsidR="004C45BE" w:rsidRPr="0037654C">
        <w:rPr>
          <w:rStyle w:val="nfasis"/>
          <w:b w:val="0"/>
          <w:sz w:val="24"/>
          <w:szCs w:val="24"/>
        </w:rPr>
        <w:t>6091 5200</w:t>
      </w:r>
      <w:r w:rsidRPr="0037654C">
        <w:rPr>
          <w:b w:val="0"/>
          <w:sz w:val="24"/>
          <w:szCs w:val="24"/>
        </w:rPr>
        <w:t xml:space="preserve"> </w:t>
      </w:r>
      <w:r w:rsidR="004C45BE" w:rsidRPr="0037654C">
        <w:rPr>
          <w:b w:val="0"/>
          <w:i/>
          <w:sz w:val="24"/>
          <w:szCs w:val="24"/>
        </w:rPr>
        <w:t>(Interno 5420)</w:t>
      </w:r>
      <w:r w:rsidR="004C45BE" w:rsidRPr="0037654C">
        <w:rPr>
          <w:b w:val="0"/>
          <w:sz w:val="24"/>
          <w:szCs w:val="24"/>
        </w:rPr>
        <w:t xml:space="preserve"> </w:t>
      </w:r>
      <w:r w:rsidRPr="0037654C">
        <w:rPr>
          <w:b w:val="0"/>
          <w:sz w:val="24"/>
          <w:szCs w:val="24"/>
        </w:rPr>
        <w:br/>
        <w:t xml:space="preserve">Correo electrónico: </w:t>
      </w:r>
      <w:r w:rsidR="004C45BE" w:rsidRPr="0037654C">
        <w:rPr>
          <w:rStyle w:val="nfasis"/>
          <w:b w:val="0"/>
          <w:sz w:val="24"/>
          <w:szCs w:val="24"/>
        </w:rPr>
        <w:t>sojeda</w:t>
      </w:r>
      <w:r w:rsidRPr="0037654C">
        <w:rPr>
          <w:rStyle w:val="nfasis"/>
          <w:b w:val="0"/>
          <w:sz w:val="24"/>
          <w:szCs w:val="24"/>
        </w:rPr>
        <w:t>@mercadocentral.gob.ar</w:t>
      </w:r>
      <w:r w:rsidR="0037654C">
        <w:rPr>
          <w:rStyle w:val="nfasis"/>
        </w:rPr>
        <w:br/>
      </w:r>
      <w:r w:rsidR="0037654C">
        <w:rPr>
          <w:iCs/>
        </w:rPr>
        <w:br/>
      </w:r>
      <w:r w:rsidR="0037654C">
        <w:t>Plazo de ejecución</w:t>
      </w:r>
    </w:p>
    <w:p w:rsidR="000F22B3" w:rsidRDefault="0037654C" w:rsidP="000F22B3">
      <w:pPr>
        <w:pStyle w:val="NormalWeb"/>
        <w:jc w:val="both"/>
      </w:pPr>
      <w:r>
        <w:t xml:space="preserve">El plazo máximo de ejecución de la obra será de </w:t>
      </w:r>
      <w:r>
        <w:rPr>
          <w:rStyle w:val="Textoennegrita"/>
        </w:rPr>
        <w:t>15 días corridos</w:t>
      </w:r>
      <w:r>
        <w:t xml:space="preserve"> </w:t>
      </w:r>
      <w:r w:rsidR="000F22B3">
        <w:t>a partir de la recepción de orden de compra. El incumplimiento de este plazo será causal de aplicación de las penalidades previstas en el pliego de condiciones.</w:t>
      </w:r>
    </w:p>
    <w:p w:rsidR="0078099D" w:rsidRPr="0037654C" w:rsidRDefault="0078099D" w:rsidP="000F22B3">
      <w:pPr>
        <w:pStyle w:val="NormalWeb"/>
        <w:jc w:val="both"/>
        <w:rPr>
          <w:iCs/>
        </w:rPr>
      </w:pPr>
      <w:bookmarkStart w:id="0" w:name="_GoBack"/>
      <w:bookmarkEnd w:id="0"/>
    </w:p>
    <w:p w:rsidR="006149DE" w:rsidRDefault="006E655A" w:rsidP="00995C40">
      <w:pPr>
        <w:jc w:val="both"/>
      </w:pPr>
    </w:p>
    <w:sectPr w:rsidR="006149D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5A" w:rsidRDefault="006E655A" w:rsidP="00B25FA3">
      <w:pPr>
        <w:spacing w:after="0" w:line="240" w:lineRule="auto"/>
      </w:pPr>
      <w:r>
        <w:separator/>
      </w:r>
    </w:p>
  </w:endnote>
  <w:endnote w:type="continuationSeparator" w:id="0">
    <w:p w:rsidR="006E655A" w:rsidRDefault="006E655A" w:rsidP="00B2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5A" w:rsidRDefault="006E655A" w:rsidP="00B25FA3">
      <w:pPr>
        <w:spacing w:after="0" w:line="240" w:lineRule="auto"/>
      </w:pPr>
      <w:r>
        <w:separator/>
      </w:r>
    </w:p>
  </w:footnote>
  <w:footnote w:type="continuationSeparator" w:id="0">
    <w:p w:rsidR="006E655A" w:rsidRDefault="006E655A" w:rsidP="00B2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FA3" w:rsidRDefault="00B25FA3">
    <w:pPr>
      <w:pStyle w:val="Encabezado"/>
    </w:pPr>
    <w:r>
      <w:rPr>
        <w:noProof/>
        <w:lang w:eastAsia="es-AR"/>
      </w:rPr>
      <w:drawing>
        <wp:inline distT="0" distB="0" distL="0" distR="0">
          <wp:extent cx="1647825" cy="649355"/>
          <wp:effectExtent l="57150" t="57150" r="47625" b="5588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ercadoCentr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89" cy="675665"/>
                  </a:xfrm>
                  <a:prstGeom prst="rect">
                    <a:avLst/>
                  </a:prstGeom>
                  <a:ln w="190500" cap="sq">
                    <a:noFill/>
                    <a:prstDash val="solid"/>
                    <a:miter lim="800000"/>
                  </a:ln>
                  <a:effectLst/>
                  <a:scene3d>
                    <a:camera prst="orthographicFront">
                      <a:rot lat="0" lon="0" rev="0"/>
                    </a:camera>
                    <a:lightRig rig="contrasting" dir="t">
                      <a:rot lat="0" lon="0" rev="7800000"/>
                    </a:lightRig>
                  </a:scene3d>
                  <a:sp3d>
                    <a:bevelT w="139700" h="139700"/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9"/>
    <w:multiLevelType w:val="multilevel"/>
    <w:tmpl w:val="C4E89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3633"/>
    <w:multiLevelType w:val="multilevel"/>
    <w:tmpl w:val="11647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61C6F"/>
    <w:multiLevelType w:val="multilevel"/>
    <w:tmpl w:val="0780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F3B6A"/>
    <w:multiLevelType w:val="multilevel"/>
    <w:tmpl w:val="378A1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9162D4"/>
    <w:multiLevelType w:val="multilevel"/>
    <w:tmpl w:val="4E00E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DA19DD"/>
    <w:multiLevelType w:val="multilevel"/>
    <w:tmpl w:val="E466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C34871"/>
    <w:multiLevelType w:val="multilevel"/>
    <w:tmpl w:val="AC2C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E4125D"/>
    <w:multiLevelType w:val="multilevel"/>
    <w:tmpl w:val="548A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29596B"/>
    <w:multiLevelType w:val="multilevel"/>
    <w:tmpl w:val="6726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B2016"/>
    <w:multiLevelType w:val="multilevel"/>
    <w:tmpl w:val="44E8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12457F"/>
    <w:multiLevelType w:val="multilevel"/>
    <w:tmpl w:val="DA904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F207F5"/>
    <w:multiLevelType w:val="multilevel"/>
    <w:tmpl w:val="E418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5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7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A3"/>
    <w:rsid w:val="000938D4"/>
    <w:rsid w:val="000F22B3"/>
    <w:rsid w:val="0037654C"/>
    <w:rsid w:val="004C45BE"/>
    <w:rsid w:val="006E655A"/>
    <w:rsid w:val="0078099D"/>
    <w:rsid w:val="00995C40"/>
    <w:rsid w:val="00A545A6"/>
    <w:rsid w:val="00B25FA3"/>
    <w:rsid w:val="00C1231E"/>
    <w:rsid w:val="00CD607F"/>
    <w:rsid w:val="00DB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949025-5C1E-4536-8B24-DB8C7086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25F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paragraph" w:styleId="Ttulo2">
    <w:name w:val="heading 2"/>
    <w:basedOn w:val="Normal"/>
    <w:link w:val="Ttulo2Car"/>
    <w:uiPriority w:val="9"/>
    <w:qFormat/>
    <w:rsid w:val="00B25F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link w:val="Ttulo3Car"/>
    <w:uiPriority w:val="9"/>
    <w:qFormat/>
    <w:rsid w:val="00B25F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5FA3"/>
  </w:style>
  <w:style w:type="paragraph" w:styleId="Piedepgina">
    <w:name w:val="footer"/>
    <w:basedOn w:val="Normal"/>
    <w:link w:val="PiedepginaCar"/>
    <w:uiPriority w:val="99"/>
    <w:unhideWhenUsed/>
    <w:rsid w:val="00B25FA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5FA3"/>
  </w:style>
  <w:style w:type="character" w:customStyle="1" w:styleId="Ttulo1Car">
    <w:name w:val="Título 1 Car"/>
    <w:basedOn w:val="Fuentedeprrafopredeter"/>
    <w:link w:val="Ttulo1"/>
    <w:uiPriority w:val="9"/>
    <w:rsid w:val="00B25FA3"/>
    <w:rPr>
      <w:rFonts w:ascii="Times New Roman" w:eastAsia="Times New Roman" w:hAnsi="Times New Roman" w:cs="Times New Roman"/>
      <w:b/>
      <w:bCs/>
      <w:kern w:val="36"/>
      <w:sz w:val="48"/>
      <w:szCs w:val="48"/>
      <w:lang w:eastAsia="es-AR"/>
    </w:rPr>
  </w:style>
  <w:style w:type="character" w:customStyle="1" w:styleId="Ttulo2Car">
    <w:name w:val="Título 2 Car"/>
    <w:basedOn w:val="Fuentedeprrafopredeter"/>
    <w:link w:val="Ttulo2"/>
    <w:uiPriority w:val="9"/>
    <w:rsid w:val="00B25FA3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customStyle="1" w:styleId="Ttulo3Car">
    <w:name w:val="Título 3 Car"/>
    <w:basedOn w:val="Fuentedeprrafopredeter"/>
    <w:link w:val="Ttulo3"/>
    <w:uiPriority w:val="9"/>
    <w:rsid w:val="00B25FA3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Textoennegrita">
    <w:name w:val="Strong"/>
    <w:basedOn w:val="Fuentedeprrafopredeter"/>
    <w:uiPriority w:val="22"/>
    <w:qFormat/>
    <w:rsid w:val="00B25FA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25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80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099D"/>
    <w:rPr>
      <w:rFonts w:ascii="Segoe UI" w:hAnsi="Segoe UI" w:cs="Segoe UI"/>
      <w:sz w:val="18"/>
      <w:szCs w:val="18"/>
    </w:rPr>
  </w:style>
  <w:style w:type="character" w:styleId="nfasis">
    <w:name w:val="Emphasis"/>
    <w:basedOn w:val="Fuentedeprrafopredeter"/>
    <w:uiPriority w:val="20"/>
    <w:qFormat/>
    <w:rsid w:val="0078099D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376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Chiflet</dc:creator>
  <cp:keywords/>
  <dc:description/>
  <cp:lastModifiedBy>Jonas Chiflet</cp:lastModifiedBy>
  <cp:revision>7</cp:revision>
  <cp:lastPrinted>2026-01-16T15:07:00Z</cp:lastPrinted>
  <dcterms:created xsi:type="dcterms:W3CDTF">2026-01-16T14:50:00Z</dcterms:created>
  <dcterms:modified xsi:type="dcterms:W3CDTF">2026-01-19T11:40:00Z</dcterms:modified>
</cp:coreProperties>
</file>